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6.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3879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 size,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
    <w:p>
      <w:pPr>
        <w:pStyle w:val="Heading3"/>
      </w:pP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S5. Dealing with rapidly changing climate and tree growth).</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To test for</w:t>
      </w:r>
      <w:r>
        <w:t xml:space="preserve"> </w:t>
      </w:r>
      <m:oMath>
        <m:r>
          <m:t>D</m:t>
        </m:r>
        <m:r>
          <m:t>B</m:t>
        </m:r>
        <m:r>
          <m:t>H</m:t>
        </m:r>
        <m:r>
          <m:t>×</m:t>
        </m:r>
      </m:oMath>
      <w:r>
        <w:t xml:space="preserve"> </w:t>
      </w:r>
      <w:r>
        <w:t xml:space="preserve">climate interactions and</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rPr>
          <w:b/>
        </w:rPr>
        <w:t xml:space="preserve">(HAVE YET TO TRY THIS)</w:t>
      </w:r>
      <w:r>
        <w:rPr>
          <w:b/>
        </w:rPr>
        <w:t xml:space="preserve"> </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r>
        <w:t xml:space="preserve"> </w:t>
      </w:r>
      <w:r>
        <w:t xml:space="preserve">For models including</w:t>
      </w:r>
      <w:r>
        <w:t xml:space="preserve"> </w:t>
      </w:r>
      <m:oMath>
        <m:r>
          <m:t>y</m:t>
        </m:r>
        <m:r>
          <m:t>e</m:t>
        </m:r>
        <m:r>
          <m:t>a</m:t>
        </m:r>
        <m:r>
          <m:t>r</m:t>
        </m:r>
      </m:oMath>
      <w:r>
        <w:t xml:space="preserve">, we tested for first-order linear effects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6" w:name="Results"/>
    <w:p>
      <w:pPr>
        <w:pStyle w:val="Heading1"/>
      </w:pPr>
      <w:r>
        <w:t xml:space="preserve">Results</w:t>
      </w:r>
    </w:p>
    <w:bookmarkStart w:id="35" w:name="Comparison"/>
    <w:p>
      <w:pPr>
        <w:pStyle w:val="Heading2"/>
      </w:pPr>
      <w:r>
        <w:t xml:space="preserve">Comparison with traditional methods</w:t>
      </w:r>
    </w:p>
    <w:p>
      <w:pPr>
        <w:pStyle w:val="FirstParagraph"/>
      </w:pPr>
      <w:r>
        <w:rPr>
          <w:b/>
        </w:rPr>
        <w:t xml:space="preserve">Using</w:t>
      </w:r>
      <w:r>
        <w:rPr>
          <w:b/>
        </w:rPr>
        <w:t xml:space="preserve"> </w:t>
      </w:r>
      <m:oMath>
        <m:r>
          <m:t>R</m:t>
        </m:r>
        <m:r>
          <m:t>W</m:t>
        </m:r>
      </m:oMath>
      <w:r>
        <w:rPr>
          <w:b/>
        </w:rPr>
        <w:t xml:space="preserve"> </w:t>
      </w:r>
      <w:r>
        <w:rPr>
          <w:b/>
        </w:rPr>
        <w:t xml:space="preserve">as the growth metric, our process picked out similar climate drivers to what would be obtained via traditional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bookmarkEnd w:id="35"/>
    <w:bookmarkStart w:id="37" w:name="Identifying"/>
    <w:p>
      <w:pPr>
        <w:pStyle w:val="Heading2"/>
      </w:pPr>
      <w:r>
        <w:t xml:space="preserve">Identifying climate drivers</w:t>
      </w:r>
    </w:p>
    <w:p>
      <w:pPr>
        <w:pStyle w:val="FirstParagraph"/>
      </w:pPr>
      <w:r>
        <w:rPr>
          <w:b/>
        </w:rPr>
        <w:t xml:space="preserve">The three metrics of growth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consistently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BodyText"/>
      </w:pPr>
      <w:r>
        <w:t xml:space="preserve">Within the precipitation group, precipitation amount (</w:t>
      </w:r>
      <m:oMath>
        <m:r>
          <m:t>P</m:t>
        </m:r>
        <m:r>
          <m:t>P</m:t>
        </m:r>
        <m:r>
          <m:t>T</m:t>
        </m:r>
      </m:oMath>
      <w:r>
        <w:t xml:space="preserve">) was identified as the top variable most frequently (n=</w:t>
      </w:r>
      <w:r>
        <w:rPr>
          <w:i/>
        </w:rPr>
        <w:t xml:space="preserve">5 of 8</w:t>
      </w:r>
      <w:r>
        <w:t xml:space="preserve"> </w:t>
      </w:r>
      <w:r>
        <w:t xml:space="preserve">sites with both variables available), but was sometimes surpassed by precipitation frequency (</w:t>
      </w:r>
      <m:oMath>
        <m:r>
          <m:t>P</m:t>
        </m:r>
        <m:r>
          <m:t>D</m:t>
        </m:r>
        <m:r>
          <m:t>F</m:t>
        </m:r>
      </m:oMath>
      <w:r>
        <w:t xml:space="preserve">; n=</w:t>
      </w:r>
      <w:r>
        <w:rPr>
          <w:i/>
        </w:rPr>
        <w:t xml:space="preserve">3 of 8</w:t>
      </w:r>
      <w:r>
        <w:t xml:space="preserve"> </w:t>
      </w:r>
      <w:r>
        <w:t xml:space="preserve">sites with both variables available).</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 noting that</w:t>
      </w:r>
      <w:r>
        <w:t xml:space="preserve"> </w:t>
      </w:r>
      <m:oMath>
        <m:r>
          <m:t>P</m:t>
        </m:r>
        <m:r>
          <m:t>E</m:t>
        </m:r>
        <m:r>
          <m:t>T</m:t>
        </m:r>
      </m:oMath>
      <w:r>
        <w:t xml:space="preserve"> </w:t>
      </w:r>
      <w:r>
        <w:t xml:space="preserve">was not available for two of these sites.</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7"/>
    <w:bookmarkStart w:id="38" w:name="Climate"/>
    <w:p>
      <w:pPr>
        <w:pStyle w:val="Heading2"/>
      </w:pPr>
      <w:r>
        <w:t xml:space="preserve">Climate sensitivity</w:t>
      </w:r>
    </w:p>
    <w:p>
      <w:pPr>
        <w:pStyle w:val="FirstParagraph"/>
      </w:pPr>
      <w:r>
        <w:t xml:space="preserve">For the majority of species-site combinations, both a precipitation and a temperature variable were included in the top model.</w:t>
      </w:r>
      <w:r>
        <w:t xml:space="preserve"> </w:t>
      </w:r>
      <w:r>
        <w:t xml:space="preserve">Specifically, of # species-site combinations, both terms were significant for #,</w:t>
      </w:r>
      <w:r>
        <w:t xml:space="preserve"> </w:t>
      </w:r>
      <w:r>
        <w:t xml:space="preserve">only the precipitation variable was significant for #,</w:t>
      </w:r>
      <w:r>
        <w:t xml:space="preserve"> </w:t>
      </w:r>
      <w:r>
        <w:t xml:space="preserve">only the temperature variable was significant for #,</w:t>
      </w:r>
      <w:r>
        <w:t xml:space="preserve"> </w:t>
      </w:r>
      <w:r>
        <w:t xml:space="preserve">and # had no climate response.</w:t>
      </w:r>
    </w:p>
    <w:p>
      <w:pPr>
        <w:pStyle w:val="BodyText"/>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Among these, responses predominantly positive (</w:t>
      </w:r>
      <w:r>
        <w:rPr>
          <w:i/>
        </w:rPr>
        <w:t xml:space="preserve">i.e.</w:t>
      </w:r>
      <w:r>
        <w:t xml:space="preserve">, positive first-order linear coefficient), with the single exception of a slightly negative response of</w:t>
      </w:r>
      <w:r>
        <w:t xml:space="preserve"> </w:t>
      </w:r>
      <w:r>
        <w:rPr>
          <w:i/>
        </w:rPr>
        <w:t xml:space="preserve">Tsuga canadensis</w:t>
      </w:r>
      <w:r>
        <w:t xml:space="preserve"> </w:t>
      </w:r>
      <w:r>
        <w:t xml:space="preserve">to March</w:t>
      </w:r>
      <w:r>
        <w:t xml:space="preserve"> </w:t>
      </w:r>
      <m:oMath>
        <m:r>
          <m:t>P</m:t>
        </m:r>
        <m:r>
          <m:t>P</m:t>
        </m:r>
        <m:r>
          <m:t>T</m:t>
        </m:r>
      </m:oMath>
      <w:r>
        <w:t xml:space="preserve"> </w:t>
      </w:r>
      <w:r>
        <w:t xml:space="preserve">at Harvard Forest.</w:t>
      </w:r>
      <w:r>
        <w:t xml:space="preserve"> </w:t>
      </w:r>
      <w:r>
        <w:t xml:space="preserve">In #% of site-species combinations, the best model contained a negative second-order term, resulting in a leveling or decrease in growth rate above long-term mean</w:t>
      </w:r>
      <w:r>
        <w:t xml:space="preserve"> </w:t>
      </w:r>
      <m:oMath>
        <m:r>
          <m:t>P</m:t>
        </m:r>
        <m:r>
          <m:t>P</m:t>
        </m:r>
        <m:r>
          <m:t>T</m:t>
        </m:r>
      </m:oMath>
      <w:r>
        <w:t xml:space="preserve"> </w:t>
      </w:r>
      <w:r>
        <w:t xml:space="preserve">or</w:t>
      </w:r>
      <w:r>
        <w:t xml:space="preserve"> </w:t>
      </w:r>
      <m:oMath>
        <m:r>
          <m:t>P</m:t>
        </m:r>
        <m:r>
          <m:t>D</m:t>
        </m:r>
        <m:r>
          <m:t>F</m:t>
        </m:r>
      </m:oMath>
      <w:r>
        <w:t xml:space="preserve">.</w:t>
      </w:r>
      <w:r>
        <w:t xml:space="preserve"> </w:t>
      </w:r>
      <w:r>
        <w:t xml:space="preserve">Responses were most pronounced at the driest site (LT).</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first-order temperature term was included in the best model for # of # site-species combinations, a second-order polynomial term significant for #.</w:t>
      </w:r>
      <w:r>
        <w:t xml:space="preserve"> </w:t>
      </w:r>
      <w:r>
        <w:t xml:space="preserve">The majority (#%) of significant temperature responses were negative.</w:t>
      </w:r>
      <w:r>
        <w:t xml:space="preserve"> </w:t>
      </w:r>
      <w:r>
        <w:t xml:space="preserve">Exceptions included positive responses of</w:t>
      </w:r>
      <w:r>
        <w:t xml:space="preserve"> </w:t>
      </w:r>
      <w:r>
        <w:rPr>
          <w:i/>
        </w:rPr>
        <w:t xml:space="preserve">Tsuga canadensis</w:t>
      </w:r>
      <w:r>
        <w:t xml:space="preserve"> </w:t>
      </w:r>
      <w:r>
        <w:t xml:space="preserve">(HF) to March</w:t>
      </w:r>
      <w:r>
        <w:t xml:space="preserve"> </w:t>
      </w:r>
      <m:oMath>
        <m:r>
          <m:t>P</m:t>
        </m:r>
        <m:r>
          <m:t>E</m:t>
        </m:r>
        <m:r>
          <m:t>T</m:t>
        </m:r>
      </m:oMath>
      <w:r>
        <w:t xml:space="preserve">,</w:t>
      </w:r>
      <w:r>
        <w:t xml:space="preserve"> </w:t>
      </w:r>
      <w:r>
        <w:t xml:space="preserve">all three species at Zofin to to January-March</w:t>
      </w:r>
      <w:r>
        <w:t xml:space="preserve"> </w:t>
      </w:r>
      <m:oMath>
        <m:sSub>
          <m:e>
            <m:r>
              <m:t>T</m:t>
            </m:r>
          </m:e>
          <m:sub>
            <m:r>
              <m:t>m</m:t>
            </m:r>
            <m:r>
              <m:t>a</m:t>
            </m:r>
            <m:r>
              <m:t>x</m:t>
            </m:r>
          </m:sub>
        </m:sSub>
      </m:oMath>
      <w:r>
        <w:t xml:space="preserve">,</w:t>
      </w:r>
      <w:r>
        <w:t xml:space="preserve"> </w:t>
      </w:r>
      <w:r>
        <w:rPr>
          <w:b/>
        </w:rPr>
        <w:t xml:space="preserve">NE TBD</w:t>
      </w:r>
      <w:r>
        <w:t xml:space="preserve">,</w:t>
      </w:r>
      <w:r>
        <w:t xml:space="preserve"> </w:t>
      </w:r>
      <w:r>
        <w:t xml:space="preserve">and</w:t>
      </w:r>
      <w:r>
        <w:t xml:space="preserve"> </w:t>
      </w:r>
      <w:r>
        <w:rPr>
          <w:i/>
        </w:rPr>
        <w:t xml:space="preserve">Picea mariana</w:t>
      </w:r>
      <w:r>
        <w:t xml:space="preserve"> </w:t>
      </w:r>
      <w:r>
        <w:t xml:space="preserve">at Scotty Creek.</w:t>
      </w:r>
      <w:r>
        <w:t xml:space="preserve"> </w:t>
      </w:r>
      <w:r>
        <w:t xml:space="preserve">We note, however, that the temperature response of the latter is negative above the long-term mean temperature when the analysis is split pre- and post-1970 (Figs.</w:t>
      </w:r>
      <w:r>
        <w:t xml:space="preserve"> </w:t>
      </w:r>
      <w:r>
        <w:rPr>
          <w:b/>
        </w:rPr>
        <w:t xml:space="preserve">ADD SI FIGS</w:t>
      </w:r>
      <w:r>
        <w:t xml:space="preserve">).</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Additive"/>
    <w:p>
      <w:pPr>
        <w:pStyle w:val="Heading2"/>
      </w:pPr>
      <w:r>
        <w:t xml:space="preserve">Additive and interactive effects of climate and DBH</w:t>
      </w:r>
    </w:p>
    <w:p>
      <w:pPr>
        <w:pStyle w:val="FirstParagraph"/>
      </w:pPr>
      <w:r>
        <w:rPr>
          <w:b/>
        </w:rPr>
        <w:t xml:space="preserve">When a precipitation variable, a temperature variable, and</w:t>
      </w:r>
      <w:r>
        <w:rPr>
          <w:b/>
        </w:rPr>
        <w:t xml:space="preserve"> </w:t>
      </w:r>
      <m:oMath>
        <m:r>
          <m:t>D</m:t>
        </m:r>
        <m:r>
          <m:t>B</m:t>
        </m:r>
        <m:r>
          <m:t>H</m:t>
        </m:r>
      </m:oMath>
      <w:r>
        <w:rPr>
          <w:b/>
        </w:rPr>
        <w:t xml:space="preserve"> </w:t>
      </w:r>
      <w:r>
        <w:rPr>
          <w:b/>
        </w:rP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although some of the weaker climate responses were not consistently included in top models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rPr>
          <w:b/>
        </w:rPr>
        <w:t xml:space="preserve">In general,</w:t>
      </w:r>
      <w:r>
        <w:rPr>
          <w:b/>
        </w:rPr>
        <w:t xml:space="preserve"> </w:t>
      </w:r>
      <m:oMath>
        <m:r>
          <m:t>D</m:t>
        </m:r>
        <m:r>
          <m:t>B</m:t>
        </m:r>
        <m:r>
          <m:t>H</m:t>
        </m:r>
      </m:oMath>
      <w:r>
        <w:rPr>
          <w:b/>
        </w:rPr>
        <w:t xml:space="preserve"> </w:t>
      </w:r>
      <w:r>
        <w:rPr>
          <w:b/>
        </w:rPr>
        <w:t xml:space="preserve">explained more variation in growth rates than did climate, but its relative importance varied across growth metrics and sites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CHANGE THIS TO THE MODELS INCLUDING YEAR???</w:t>
      </w:r>
    </w:p>
    <w:p>
      <w:pPr>
        <w:pStyle w:val="BodyText"/>
      </w:pPr>
      <w:r>
        <w:rPr>
          <w:b/>
        </w:rPr>
        <w:t xml:space="preserve">Interactive effects of climate and</w:t>
      </w:r>
      <w:r>
        <w:rPr>
          <w:b/>
        </w:rPr>
        <w:t xml:space="preserve"> </w:t>
      </w:r>
      <m:oMath>
        <m:r>
          <m:t>D</m:t>
        </m:r>
        <m:r>
          <m:t>B</m:t>
        </m:r>
        <m:r>
          <m:t>H</m:t>
        </m:r>
      </m:oMath>
      <w:r>
        <w:rPr>
          <w:b/>
        </w:rPr>
        <w:t xml:space="preserve"> </w:t>
      </w:r>
      <w:r>
        <w:rPr>
          <w:b/>
        </w:rPr>
        <w:t xml:space="preserve">were found for # of the # species-variable combinations for which they could be tested</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 6).</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 6).</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3"/>
    <w:bookmarkStart w:id="45"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 of the #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7).</w:t>
      </w:r>
      <w:r>
        <w:t xml:space="preserve"> </w:t>
      </w:r>
      <w:r>
        <w:t xml:space="preserve">Significant positive growth trends were observed for only # species,</w:t>
      </w:r>
      <w:r>
        <w:t xml:space="preserve"> </w:t>
      </w:r>
      <w:r>
        <w:rPr>
          <w:b/>
        </w:rPr>
        <w:t xml:space="preserve">LIST</w:t>
      </w:r>
      <w:r>
        <w:t xml:space="preserve">, and all were modest compared to the steep negative trends observed for some species.</w:t>
      </w:r>
      <w:r>
        <w:t xml:space="preserve"> </w:t>
      </w:r>
      <w:r>
        <w:t xml:space="preserve">Growth rate was independent of</w:t>
      </w:r>
      <w:r>
        <w:t xml:space="preserve"> </w:t>
      </w:r>
      <w:r>
        <w:rPr>
          <w:rStyle w:val="VerbatimChar"/>
        </w:rPr>
        <w:t xml:space="preserve">year</w:t>
      </w:r>
      <w:r>
        <w:t xml:space="preserve"> </w:t>
      </w:r>
      <w:r>
        <w:t xml:space="preserve">for only # species:</w:t>
      </w:r>
      <w:r>
        <w:t xml:space="preserve"> </w:t>
      </w:r>
      <w:r>
        <w:rPr>
          <w:b/>
        </w:rPr>
        <w:t xml:space="preserve">LIST</w:t>
      </w:r>
      <w:r>
        <w:t xml:space="preserve">.</w:t>
      </w:r>
    </w:p>
    <w:p>
      <w:pPr>
        <w:pStyle w:val="CaptionedFigure"/>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7 | DRAFT FIGURE. GLS model with and without year, maybe decadal analysis plot. IT WOULD BE BEST TO COMBINE THE 2 DBH FIGURES (PANELS 1,2). CURRENT EXAMPLE IS JUST SCOTTY CREEK, BUT IT WOULD BE GOOD TO SHOW AT LEAST ONE OTHER.</w:t>
      </w:r>
    </w:p>
    <w:bookmarkEnd w:id="45"/>
    <w:bookmarkEnd w:id="46"/>
    <w:bookmarkStart w:id="53"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40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6),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7).</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7"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7"/>
    <w:bookmarkStart w:id="50"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8">
        <w:r>
          <w:rPr>
            <w:rStyle w:val="Hyperlink"/>
            <w:i/>
          </w:rPr>
          <w:t xml:space="preserve">Clark et al. 2007?</w:t>
        </w:r>
      </w:hyperlink>
      <w:r>
        <w:rPr>
          <w:i/>
        </w:rPr>
        <w:t xml:space="preserve">;</w:t>
      </w:r>
      <w:r>
        <w:rPr>
          <w:i/>
        </w:rPr>
        <w:t xml:space="preserve"> </w:t>
      </w:r>
      <w:hyperlink r:id="rId49">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50"/>
    <w:bookmarkStart w:id="51"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p>
    <w:bookmarkEnd w:id="51"/>
    <w:bookmarkStart w:id="52"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2"/>
    <w:bookmarkEnd w:id="53"/>
    <w:bookmarkStart w:id="54"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7"/>
    <w:bookmarkStart w:id="58"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8"/>
    <w:bookmarkStart w:id="174" w:name="References"/>
    <w:p>
      <w:pPr>
        <w:pStyle w:val="Heading1"/>
      </w:pPr>
      <w:r>
        <w:t xml:space="preserve">References</w:t>
      </w:r>
    </w:p>
    <w:bookmarkStart w:id="173"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61">
        <w:r>
          <w:rPr>
            <w:rStyle w:val="Hyperlink"/>
          </w:rPr>
          <w:t xml:space="preserve">https://doi.org/10.1007/s00468-017-1629-0</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9">
        <w:r>
          <w:rPr>
            <w:rStyle w:val="Hyperlink"/>
          </w:rPr>
          <w:t xml:space="preserve">https://doi.org/10.1674/0003-0031-180.1.18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2">
        <w:r>
          <w:rPr>
            <w:rStyle w:val="Hyperlink"/>
          </w:rPr>
          <w:t xml:space="preserve">https://doi.org/10.1111/ele.12650</w:t>
        </w:r>
      </w:hyperlink>
    </w:p>
    <w:bookmarkEnd w:id="83"/>
    <w:bookmarkStart w:id="85"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4">
        <w:r>
          <w:rPr>
            <w:rStyle w:val="Hyperlink"/>
          </w:rPr>
          <w:t xml:space="preserve">https://doi.org/10.1016/S0378-1127(98)00242-4</w:t>
        </w:r>
      </w:hyperlink>
    </w:p>
    <w:bookmarkEnd w:id="85"/>
    <w:bookmarkStart w:id="87"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6">
        <w:r>
          <w:rPr>
            <w:rStyle w:val="Hyperlink"/>
          </w:rPr>
          <w:t xml:space="preserve">https://doi.org/10.1007/BF00282374</w:t>
        </w:r>
      </w:hyperlink>
    </w:p>
    <w:bookmarkEnd w:id="87"/>
    <w:bookmarkStart w:id="8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8">
        <w:r>
          <w:rPr>
            <w:rStyle w:val="Hyperlink"/>
          </w:rPr>
          <w:t xml:space="preserve">https://doi.org/10.1177/095968369700700314</w:t>
        </w:r>
      </w:hyperlink>
    </w:p>
    <w:bookmarkEnd w:id="89"/>
    <w:bookmarkStart w:id="9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0">
        <w:r>
          <w:rPr>
            <w:rStyle w:val="Hyperlink"/>
          </w:rPr>
          <w:t xml:space="preserve">https://doi.org/10.1038/s41467-020-14300-5</w:t>
        </w:r>
      </w:hyperlink>
    </w:p>
    <w:bookmarkEnd w:id="91"/>
    <w:bookmarkStart w:id="9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2">
        <w:r>
          <w:rPr>
            <w:rStyle w:val="Hyperlink"/>
          </w:rPr>
          <w:t xml:space="preserve">https://doi.org/10.1007/s10584-009-9594-2</w:t>
        </w:r>
      </w:hyperlink>
    </w:p>
    <w:bookmarkEnd w:id="93"/>
    <w:bookmarkStart w:id="9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4">
        <w:r>
          <w:rPr>
            <w:rStyle w:val="Hyperlink"/>
          </w:rPr>
          <w:t xml:space="preserve">https://doi.org/10.1002/ecm.1423</w:t>
        </w:r>
      </w:hyperlink>
    </w:p>
    <w:bookmarkEnd w:id="95"/>
    <w:bookmarkStart w:id="9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6">
        <w:r>
          <w:rPr>
            <w:rStyle w:val="Hyperlink"/>
          </w:rPr>
          <w:t xml:space="preserve">https://doi.org/10.1016/j.foreco.2020.118717</w:t>
        </w:r>
      </w:hyperlink>
    </w:p>
    <w:bookmarkEnd w:id="97"/>
    <w:bookmarkStart w:id="9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8">
        <w:r>
          <w:rPr>
            <w:rStyle w:val="Hyperlink"/>
          </w:rPr>
          <w:t xml:space="preserve">https://doi.org/10.1111/gcb.13208</w:t>
        </w:r>
      </w:hyperlink>
    </w:p>
    <w:bookmarkEnd w:id="99"/>
    <w:bookmarkStart w:id="10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0">
        <w:r>
          <w:rPr>
            <w:rStyle w:val="Hyperlink"/>
          </w:rPr>
          <w:t xml:space="preserve">https://doi.org/10.1175/JCLI3800.1</w:t>
        </w:r>
      </w:hyperlink>
    </w:p>
    <w:bookmarkEnd w:id="101"/>
    <w:bookmarkStart w:id="102" w:name="ref-fritts_tree_1976"/>
    <w:p>
      <w:pPr>
        <w:pStyle w:val="Bibliography"/>
      </w:pPr>
      <w:r>
        <w:t xml:space="preserve">Fritts, H. C. (1976).</w:t>
      </w:r>
      <w:r>
        <w:t xml:space="preserve"> </w:t>
      </w:r>
      <w:r>
        <w:rPr>
          <w:i/>
        </w:rPr>
        <w:t xml:space="preserve">Tree rings and climate</w:t>
      </w:r>
      <w:r>
        <w:t xml:space="preserve">. Academic Press.</w:t>
      </w:r>
    </w:p>
    <w:bookmarkEnd w:id="102"/>
    <w:bookmarkStart w:id="104"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3">
        <w:r>
          <w:rPr>
            <w:rStyle w:val="Hyperlink"/>
          </w:rPr>
          <w:t xml:space="preserve">https://doi.org/10.1007/s10021-020-00501-y</w:t>
        </w:r>
      </w:hyperlink>
    </w:p>
    <w:bookmarkEnd w:id="104"/>
    <w:bookmarkStart w:id="10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5">
        <w:r>
          <w:rPr>
            <w:rStyle w:val="Hyperlink"/>
          </w:rPr>
          <w:t xml:space="preserve">https://doi.org/10.5281/ZENODO.4070038</w:t>
        </w:r>
      </w:hyperlink>
    </w:p>
    <w:bookmarkEnd w:id="106"/>
    <w:bookmarkStart w:id="10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7">
        <w:r>
          <w:rPr>
            <w:rStyle w:val="Hyperlink"/>
          </w:rPr>
          <w:t xml:space="preserve">https://doi.org/10.2307/1937545</w:t>
        </w:r>
      </w:hyperlink>
    </w:p>
    <w:bookmarkEnd w:id="108"/>
    <w:bookmarkStart w:id="110"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9">
        <w:r>
          <w:rPr>
            <w:rStyle w:val="Hyperlink"/>
          </w:rPr>
          <w:t xml:space="preserve">https://doi.org/10.1007/s10342-016-0982-7</w:t>
        </w:r>
      </w:hyperlink>
    </w:p>
    <w:bookmarkEnd w:id="110"/>
    <w:bookmarkStart w:id="11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1">
        <w:r>
          <w:rPr>
            <w:rStyle w:val="Hyperlink"/>
          </w:rPr>
          <w:t xml:space="preserve">https://doi.org/10.1002/joc.3711</w:t>
        </w:r>
      </w:hyperlink>
    </w:p>
    <w:bookmarkEnd w:id="112"/>
    <w:bookmarkStart w:id="11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3">
        <w:r>
          <w:rPr>
            <w:rStyle w:val="Hyperlink"/>
          </w:rPr>
          <w:t xml:space="preserve">https://doi.org/10.1038/s41597-020-0453-3</w:t>
        </w:r>
      </w:hyperlink>
    </w:p>
    <w:bookmarkEnd w:id="114"/>
    <w:bookmarkStart w:id="11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5">
        <w:r>
          <w:rPr>
            <w:rStyle w:val="Hyperlink"/>
          </w:rPr>
          <w:t xml:space="preserve">https://doi.org/10.1111/nph.15906</w:t>
        </w:r>
      </w:hyperlink>
    </w:p>
    <w:bookmarkEnd w:id="116"/>
    <w:bookmarkStart w:id="117"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7"/>
    <w:bookmarkStart w:id="119"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8">
        <w:r>
          <w:rPr>
            <w:rStyle w:val="Hyperlink"/>
          </w:rPr>
          <w:t xml:space="preserve">https://doi.org/10.1038/s41467-018-07800-y</w:t>
        </w:r>
      </w:hyperlink>
    </w:p>
    <w:bookmarkEnd w:id="119"/>
    <w:bookmarkStart w:id="12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0">
        <w:r>
          <w:rPr>
            <w:rStyle w:val="Hyperlink"/>
          </w:rPr>
          <w:t xml:space="preserve">https://doi.org/10.1111/nph.15668</w:t>
        </w:r>
      </w:hyperlink>
    </w:p>
    <w:bookmarkEnd w:id="121"/>
    <w:bookmarkStart w:id="12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2">
        <w:r>
          <w:rPr>
            <w:rStyle w:val="Hyperlink"/>
          </w:rPr>
          <w:t xml:space="preserve">https://doi.org/10.1111/gcb.14273</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4">
        <w:r>
          <w:rPr>
            <w:rStyle w:val="Hyperlink"/>
          </w:rPr>
          <w:t xml:space="preserve">https://doi.org/10.1007/s10584-016-1720-3</w:t>
        </w:r>
      </w:hyperlink>
    </w:p>
    <w:bookmarkEnd w:id="125"/>
    <w:bookmarkStart w:id="12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6">
        <w:r>
          <w:rPr>
            <w:rStyle w:val="Hyperlink"/>
          </w:rPr>
          <w:t xml:space="preserve">https://doi.org/10.1126/science.aaz9463</w:t>
        </w:r>
      </w:hyperlink>
    </w:p>
    <w:bookmarkEnd w:id="127"/>
    <w:bookmarkStart w:id="12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8">
        <w:r>
          <w:rPr>
            <w:rStyle w:val="Hyperlink"/>
          </w:rPr>
          <w:t xml:space="preserve">https://doi.org/10.1111/nph.16996</w:t>
        </w:r>
      </w:hyperlink>
    </w:p>
    <w:bookmarkEnd w:id="129"/>
    <w:bookmarkStart w:id="13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0">
        <w:r>
          <w:rPr>
            <w:rStyle w:val="Hyperlink"/>
          </w:rPr>
          <w:t xml:space="preserve">https://doi.org/10.1016/j.cageo.2011.01.013</w:t>
        </w:r>
      </w:hyperlink>
    </w:p>
    <w:bookmarkEnd w:id="131"/>
    <w:bookmarkStart w:id="13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2"/>
    <w:bookmarkStart w:id="13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3">
        <w:r>
          <w:rPr>
            <w:rStyle w:val="Hyperlink"/>
          </w:rPr>
          <w:t xml:space="preserve">https://doi.org/10.1111/gcb.12599</w:t>
        </w:r>
      </w:hyperlink>
    </w:p>
    <w:bookmarkEnd w:id="134"/>
    <w:bookmarkStart w:id="13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5">
        <w:r>
          <w:rPr>
            <w:rStyle w:val="Hyperlink"/>
          </w:rPr>
          <w:t xml:space="preserve">https://doi.org/10.1111/j.1365-2486.2010.02222.x</w:t>
        </w:r>
      </w:hyperlink>
    </w:p>
    <w:bookmarkEnd w:id="136"/>
    <w:bookmarkStart w:id="13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7">
        <w:r>
          <w:rPr>
            <w:rStyle w:val="Hyperlink"/>
          </w:rPr>
          <w:t xml:space="preserve">https://doi.org/10.1111/gcb.12826</w:t>
        </w:r>
      </w:hyperlink>
    </w:p>
    <w:bookmarkEnd w:id="138"/>
    <w:bookmarkStart w:id="14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9">
        <w:r>
          <w:rPr>
            <w:rStyle w:val="Hyperlink"/>
          </w:rPr>
          <w:t xml:space="preserve">https://doi.org/10.1016/j.dendro.2020.125678</w:t>
        </w:r>
      </w:hyperlink>
    </w:p>
    <w:bookmarkEnd w:id="140"/>
    <w:bookmarkStart w:id="14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1">
        <w:r>
          <w:rPr>
            <w:rStyle w:val="Hyperlink"/>
          </w:rPr>
          <w:t xml:space="preserve">https://doi.org/10.1111/2041-210X.12753</w:t>
        </w:r>
      </w:hyperlink>
    </w:p>
    <w:bookmarkEnd w:id="142"/>
    <w:bookmarkStart w:id="14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3">
        <w:r>
          <w:rPr>
            <w:rStyle w:val="Hyperlink"/>
          </w:rPr>
          <w:t xml:space="preserve">https://doi.org/10.1002/2016JG003528</w:t>
        </w:r>
      </w:hyperlink>
    </w:p>
    <w:bookmarkEnd w:id="144"/>
    <w:bookmarkStart w:id="1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5">
        <w:r>
          <w:rPr>
            <w:rStyle w:val="Hyperlink"/>
          </w:rPr>
          <w:t xml:space="preserve">https://doi.org/10.1038/nature12914</w:t>
        </w:r>
      </w:hyperlink>
    </w:p>
    <w:bookmarkEnd w:id="146"/>
    <w:bookmarkStart w:id="14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7">
        <w:r>
          <w:rPr>
            <w:rStyle w:val="Hyperlink"/>
          </w:rPr>
          <w:t xml:space="preserve">https://doi.org/10.1126/science.aaw7578</w:t>
        </w:r>
      </w:hyperlink>
    </w:p>
    <w:bookmarkEnd w:id="148"/>
    <w:bookmarkStart w:id="15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9">
        <w:r>
          <w:rPr>
            <w:rStyle w:val="Hyperlink"/>
          </w:rPr>
          <w:t xml:space="preserve">https://doi.org/10.1111/jvs.12025</w:t>
        </w:r>
      </w:hyperlink>
    </w:p>
    <w:bookmarkEnd w:id="150"/>
    <w:bookmarkStart w:id="152"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1">
        <w:r>
          <w:rPr>
            <w:rStyle w:val="Hyperlink"/>
          </w:rPr>
          <w:t xml:space="preserve">https://doi.org/10.1016/j.agrformet.2017.08.007</w:t>
        </w:r>
      </w:hyperlink>
    </w:p>
    <w:bookmarkEnd w:id="152"/>
    <w:bookmarkStart w:id="154"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3">
        <w:r>
          <w:rPr>
            <w:rStyle w:val="Hyperlink"/>
          </w:rPr>
          <w:t xml:space="preserve">https://doi.org/10.1111/gcb.14120</w:t>
        </w:r>
      </w:hyperlink>
    </w:p>
    <w:bookmarkEnd w:id="154"/>
    <w:bookmarkStart w:id="1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5">
        <w:r>
          <w:rPr>
            <w:rStyle w:val="Hyperlink"/>
          </w:rPr>
          <w:t xml:space="preserve">https://doi.org/10.5194/cp-9-1481-2013</w:t>
        </w:r>
      </w:hyperlink>
    </w:p>
    <w:bookmarkEnd w:id="156"/>
    <w:bookmarkStart w:id="15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7">
        <w:r>
          <w:rPr>
            <w:rStyle w:val="Hyperlink"/>
          </w:rPr>
          <w:t xml:space="preserve">https://doi.org/10.1016/j.agrformet.2017.07.015</w:t>
        </w:r>
      </w:hyperlink>
    </w:p>
    <w:bookmarkEnd w:id="158"/>
    <w:bookmarkStart w:id="16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9">
        <w:r>
          <w:rPr>
            <w:rStyle w:val="Hyperlink"/>
          </w:rPr>
          <w:t xml:space="preserve">https://doi.org/10.1111/2041-210X.12590</w:t>
        </w:r>
      </w:hyperlink>
    </w:p>
    <w:bookmarkEnd w:id="160"/>
    <w:bookmarkStart w:id="16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1">
        <w:r>
          <w:rPr>
            <w:rStyle w:val="Hyperlink"/>
          </w:rPr>
          <w:t xml:space="preserve">https://doi.org/10.1007/s00442-013-2846-x</w:t>
        </w:r>
      </w:hyperlink>
    </w:p>
    <w:bookmarkEnd w:id="162"/>
    <w:bookmarkStart w:id="16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3">
        <w:r>
          <w:rPr>
            <w:rStyle w:val="Hyperlink"/>
          </w:rPr>
          <w:t xml:space="preserve">https://doi.org/10.1111/nph.16866</w:t>
        </w:r>
      </w:hyperlink>
    </w:p>
    <w:bookmarkEnd w:id="164"/>
    <w:bookmarkStart w:id="166"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5">
        <w:r>
          <w:rPr>
            <w:rStyle w:val="Hyperlink"/>
          </w:rPr>
          <w:t xml:space="preserve">https://doi.org/10.1038/nclimate1693</w:t>
        </w:r>
      </w:hyperlink>
    </w:p>
    <w:bookmarkEnd w:id="166"/>
    <w:bookmarkStart w:id="16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7">
        <w:r>
          <w:rPr>
            <w:rStyle w:val="Hyperlink"/>
          </w:rPr>
          <w:t xml:space="preserve">https://doi.org/10.1111/gcb.15057</w:t>
        </w:r>
      </w:hyperlink>
    </w:p>
    <w:bookmarkEnd w:id="168"/>
    <w:bookmarkStart w:id="17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9">
        <w:r>
          <w:rPr>
            <w:rStyle w:val="Hyperlink"/>
          </w:rPr>
          <w:t xml:space="preserve">https://doi.org/10.1191/095968399667128516</w:t>
        </w:r>
      </w:hyperlink>
    </w:p>
    <w:bookmarkEnd w:id="170"/>
    <w:bookmarkStart w:id="1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1">
        <w:r>
          <w:rPr>
            <w:rStyle w:val="Hyperlink"/>
          </w:rPr>
          <w:t xml:space="preserve">https://doi.org/10.1111/ecog.01335</w:t>
        </w:r>
      </w:hyperlink>
    </w:p>
    <w:bookmarkEnd w:id="172"/>
    <w:bookmarkEnd w:id="173"/>
    <w:bookmarkEnd w:id="1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3" Target="https://doi.org/10.1002/2016JG003528" TargetMode="External" /><Relationship Type="http://schemas.openxmlformats.org/officeDocument/2006/relationships/hyperlink" Id="rId94" Target="https://doi.org/10.1002/ecm.1423" TargetMode="External" /><Relationship Type="http://schemas.openxmlformats.org/officeDocument/2006/relationships/hyperlink" Id="rId111" Target="https://doi.org/10.1002/joc.3711" TargetMode="External" /><Relationship Type="http://schemas.openxmlformats.org/officeDocument/2006/relationships/hyperlink" Id="rId86" Target="https://doi.org/10.1007/BF00282374" TargetMode="External" /><Relationship Type="http://schemas.openxmlformats.org/officeDocument/2006/relationships/hyperlink" Id="rId161" Target="https://doi.org/10.1007/s00442-013-2846-x" TargetMode="External" /><Relationship Type="http://schemas.openxmlformats.org/officeDocument/2006/relationships/hyperlink" Id="rId61" Target="https://doi.org/10.1007/s00468-017-1629-0" TargetMode="External" /><Relationship Type="http://schemas.openxmlformats.org/officeDocument/2006/relationships/hyperlink" Id="rId103" Target="https://doi.org/10.1007/s10021-020-00501-y" TargetMode="External" /><Relationship Type="http://schemas.openxmlformats.org/officeDocument/2006/relationships/hyperlink" Id="rId109" Target="https://doi.org/10.1007/s10342-016-0982-7" TargetMode="External" /><Relationship Type="http://schemas.openxmlformats.org/officeDocument/2006/relationships/hyperlink" Id="rId92"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84"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57" Target="https://doi.org/10.1016/j.agrformet.2017.07.015" TargetMode="External" /><Relationship Type="http://schemas.openxmlformats.org/officeDocument/2006/relationships/hyperlink" Id="rId151" Target="https://doi.org/10.1016/j.agrformet.2017.08.007" TargetMode="External" /><Relationship Type="http://schemas.openxmlformats.org/officeDocument/2006/relationships/hyperlink" Id="rId130" Target="https://doi.org/10.1016/j.cageo.2011.01.013" TargetMode="External" /><Relationship Type="http://schemas.openxmlformats.org/officeDocument/2006/relationships/hyperlink" Id="rId139" Target="https://doi.org/10.1016/j.dendro.2020.125678" TargetMode="External" /><Relationship Type="http://schemas.openxmlformats.org/officeDocument/2006/relationships/hyperlink" Id="rId96"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9" Target="https://doi.org/10.1017/qua.2019.33" TargetMode="External" /><Relationship Type="http://schemas.openxmlformats.org/officeDocument/2006/relationships/hyperlink" Id="rId145" Target="https://doi.org/10.1038/nature12914" TargetMode="External" /><Relationship Type="http://schemas.openxmlformats.org/officeDocument/2006/relationships/hyperlink" Id="rId165"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18" Target="https://doi.org/10.1038/s41467-018-07800-y" TargetMode="External" /><Relationship Type="http://schemas.openxmlformats.org/officeDocument/2006/relationships/hyperlink" Id="rId90" Target="https://doi.org/10.1038/s41467-020-14300-5" TargetMode="External" /><Relationship Type="http://schemas.openxmlformats.org/officeDocument/2006/relationships/hyperlink" Id="rId113" Target="https://doi.org/10.1038/s41597-020-0453-3"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2041-210X.12590" TargetMode="External" /><Relationship Type="http://schemas.openxmlformats.org/officeDocument/2006/relationships/hyperlink" Id="rId141" Target="https://doi.org/10.1111/2041-210X.12753" TargetMode="External" /><Relationship Type="http://schemas.openxmlformats.org/officeDocument/2006/relationships/hyperlink" Id="rId171" Target="https://doi.org/10.1111/ecog.01335" TargetMode="External" /><Relationship Type="http://schemas.openxmlformats.org/officeDocument/2006/relationships/hyperlink" Id="rId82" Target="https://doi.org/10.1111/ele.12650" TargetMode="External" /><Relationship Type="http://schemas.openxmlformats.org/officeDocument/2006/relationships/hyperlink" Id="rId13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37" Target="https://doi.org/10.1111/gcb.12826" TargetMode="External" /><Relationship Type="http://schemas.openxmlformats.org/officeDocument/2006/relationships/hyperlink" Id="rId98" Target="https://doi.org/10.1111/gcb.13208" TargetMode="External" /><Relationship Type="http://schemas.openxmlformats.org/officeDocument/2006/relationships/hyperlink" Id="rId80" Target="https://doi.org/10.1111/gcb.13535" TargetMode="External" /><Relationship Type="http://schemas.openxmlformats.org/officeDocument/2006/relationships/hyperlink" Id="rId153" Target="https://doi.org/10.1111/gcb.14120" TargetMode="External" /><Relationship Type="http://schemas.openxmlformats.org/officeDocument/2006/relationships/hyperlink" Id="rId122" Target="https://doi.org/10.1111/gcb.14273" TargetMode="External" /><Relationship Type="http://schemas.openxmlformats.org/officeDocument/2006/relationships/hyperlink" Id="rId167" Target="https://doi.org/10.1111/gcb.15057" TargetMode="External" /><Relationship Type="http://schemas.openxmlformats.org/officeDocument/2006/relationships/hyperlink" Id="rId135" Target="https://doi.org/10.1111/j.1365-2486.2010.02222.x" TargetMode="External" /><Relationship Type="http://schemas.openxmlformats.org/officeDocument/2006/relationships/hyperlink" Id="rId149" Target="https://doi.org/10.1111/jvs.12025" TargetMode="External" /><Relationship Type="http://schemas.openxmlformats.org/officeDocument/2006/relationships/hyperlink" Id="rId120" Target="https://doi.org/10.1111/nph.15668" TargetMode="External" /><Relationship Type="http://schemas.openxmlformats.org/officeDocument/2006/relationships/hyperlink" Id="rId115" Target="https://doi.org/10.1111/nph.15906" TargetMode="External" /><Relationship Type="http://schemas.openxmlformats.org/officeDocument/2006/relationships/hyperlink" Id="rId163"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7"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0" Target="https://doi.org/10.1175/JCLI3800.1" TargetMode="External" /><Relationship Type="http://schemas.openxmlformats.org/officeDocument/2006/relationships/hyperlink" Id="rId88" Target="https://doi.org/10.1177/095968369700700314" TargetMode="External" /><Relationship Type="http://schemas.openxmlformats.org/officeDocument/2006/relationships/hyperlink" Id="rId169" Target="https://doi.org/10.1191/095968399667128516" TargetMode="External" /><Relationship Type="http://schemas.openxmlformats.org/officeDocument/2006/relationships/hyperlink" Id="rId69" Target="https://doi.org/10.1674/0003-0031-180.1.18" TargetMode="External" /><Relationship Type="http://schemas.openxmlformats.org/officeDocument/2006/relationships/hyperlink" Id="rId107" Target="https://doi.org/10.2307/1937545" TargetMode="External" /><Relationship Type="http://schemas.openxmlformats.org/officeDocument/2006/relationships/hyperlink" Id="rId155"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05"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2020-12-02T21:02:56Z</dcterms:created>
  <dcterms:modified xsi:type="dcterms:W3CDTF">2020-12-02T21:02:56Z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